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41" w:rsidRPr="00697E48" w:rsidRDefault="00C34341" w:rsidP="00C34341">
      <w:pPr>
        <w:pStyle w:val="3"/>
        <w:tabs>
          <w:tab w:val="left" w:pos="708"/>
        </w:tabs>
      </w:pPr>
      <w:r w:rsidRPr="00697E48">
        <w:t>Приложение 3</w:t>
      </w:r>
    </w:p>
    <w:p w:rsidR="00C34341" w:rsidRPr="00697E48" w:rsidRDefault="00C34341" w:rsidP="00C34341">
      <w:pPr>
        <w:widowControl/>
        <w:spacing w:after="120"/>
        <w:ind w:left="6307"/>
      </w:pPr>
      <w:r w:rsidRPr="00697E48">
        <w:t xml:space="preserve">к Правилам осуществления </w:t>
      </w:r>
      <w:r w:rsidRPr="00697E48">
        <w:rPr>
          <w:rFonts w:cs="Arial"/>
        </w:rPr>
        <w:t>клиринговой деятельности по сделкам с финансовыми инструментами</w:t>
      </w:r>
    </w:p>
    <w:p w:rsidR="00C34341" w:rsidRPr="00697E48" w:rsidRDefault="00C34341" w:rsidP="00C34341">
      <w:pPr>
        <w:widowControl/>
        <w:spacing w:after="120"/>
        <w:jc w:val="center"/>
      </w:pPr>
      <w:r w:rsidRPr="0035528D">
        <w:rPr>
          <w:i/>
          <w:color w:val="0000FF"/>
        </w:rPr>
        <w:t>(</w:t>
      </w:r>
      <w:r>
        <w:rPr>
          <w:i/>
          <w:color w:val="0000FF"/>
        </w:rPr>
        <w:t>Данное приложение изменено</w:t>
      </w:r>
      <w:r w:rsidRPr="008434D0">
        <w:rPr>
          <w:i/>
          <w:color w:val="0000FF"/>
        </w:rPr>
        <w:t xml:space="preserve"> решением Совета директоров Биржи </w:t>
      </w:r>
      <w:r>
        <w:rPr>
          <w:i/>
          <w:color w:val="0000FF"/>
        </w:rPr>
        <w:br/>
      </w:r>
      <w:r w:rsidRPr="008434D0">
        <w:rPr>
          <w:i/>
          <w:color w:val="0000FF"/>
        </w:rPr>
        <w:t>от 12 декабря 2018 года)</w:t>
      </w:r>
    </w:p>
    <w:p w:rsidR="00C34341" w:rsidRPr="00697E48" w:rsidRDefault="00C34341" w:rsidP="00C34341">
      <w:pPr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 w:rsidRPr="00697E48">
        <w:rPr>
          <w:rFonts w:ascii="Times New Roman" w:hAnsi="Times New Roman"/>
          <w:b/>
          <w:color w:val="800000"/>
          <w:spacing w:val="60"/>
          <w:sz w:val="28"/>
        </w:rPr>
        <w:t>ЗАЯВЛЕНИЕ</w:t>
      </w:r>
    </w:p>
    <w:p w:rsidR="00C34341" w:rsidRPr="00697E48" w:rsidRDefault="00C34341" w:rsidP="00C34341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697E48">
        <w:rPr>
          <w:rFonts w:ascii="Times New Roman" w:hAnsi="Times New Roman"/>
          <w:b/>
          <w:color w:val="800000"/>
          <w:sz w:val="24"/>
        </w:rPr>
        <w:t>о возврате гарантийного взноса</w:t>
      </w:r>
    </w:p>
    <w:p w:rsidR="00C34341" w:rsidRPr="00697E48" w:rsidRDefault="00C34341" w:rsidP="00C34341">
      <w:pPr>
        <w:spacing w:after="120"/>
        <w:rPr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508"/>
        <w:gridCol w:w="3735"/>
      </w:tblGrid>
      <w:tr w:rsidR="00C34341" w:rsidRPr="00697E48" w:rsidTr="002B10DE">
        <w:tc>
          <w:tcPr>
            <w:tcW w:w="55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vAlign w:val="bottom"/>
          </w:tcPr>
          <w:p w:rsidR="00C34341" w:rsidRPr="00697E48" w:rsidRDefault="00C34341" w:rsidP="002B10DE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hideMark/>
          </w:tcPr>
          <w:p w:rsidR="00C34341" w:rsidRPr="00697E48" w:rsidRDefault="00C34341" w:rsidP="002B10DE">
            <w:pPr>
              <w:spacing w:before="60" w:after="120"/>
              <w:rPr>
                <w:sz w:val="18"/>
                <w:szCs w:val="18"/>
                <w:lang w:val="en-US" w:eastAsia="ru-RU"/>
              </w:rPr>
            </w:pPr>
            <w:r w:rsidRPr="00697E48">
              <w:rPr>
                <w:lang w:val="en-US" w:eastAsia="ru-RU"/>
              </w:rPr>
              <w:t>АО "</w:t>
            </w:r>
            <w:proofErr w:type="spellStart"/>
            <w:r w:rsidRPr="00697E48">
              <w:rPr>
                <w:lang w:val="en-US" w:eastAsia="ru-RU"/>
              </w:rPr>
              <w:t>Казахстанская</w:t>
            </w:r>
            <w:proofErr w:type="spellEnd"/>
            <w:r w:rsidRPr="00697E48">
              <w:rPr>
                <w:lang w:val="en-US" w:eastAsia="ru-RU"/>
              </w:rPr>
              <w:t xml:space="preserve"> </w:t>
            </w:r>
            <w:proofErr w:type="spellStart"/>
            <w:r w:rsidRPr="00697E48">
              <w:rPr>
                <w:lang w:val="en-US" w:eastAsia="ru-RU"/>
              </w:rPr>
              <w:t>фондовая</w:t>
            </w:r>
            <w:proofErr w:type="spellEnd"/>
            <w:r w:rsidRPr="00697E48">
              <w:rPr>
                <w:lang w:val="en-US" w:eastAsia="ru-RU"/>
              </w:rPr>
              <w:t xml:space="preserve"> </w:t>
            </w:r>
            <w:proofErr w:type="spellStart"/>
            <w:r w:rsidRPr="00697E48">
              <w:rPr>
                <w:lang w:val="en-US" w:eastAsia="ru-RU"/>
              </w:rPr>
              <w:t>биржа</w:t>
            </w:r>
            <w:proofErr w:type="spellEnd"/>
            <w:r w:rsidRPr="00697E48">
              <w:rPr>
                <w:lang w:val="en-US" w:eastAsia="ru-RU"/>
              </w:rPr>
              <w:t>"</w:t>
            </w:r>
          </w:p>
        </w:tc>
      </w:tr>
      <w:tr w:rsidR="00C34341" w:rsidRPr="00697E48" w:rsidTr="002B10DE">
        <w:trPr>
          <w:trHeight w:val="720"/>
        </w:trPr>
        <w:tc>
          <w:tcPr>
            <w:tcW w:w="5508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  <w:vAlign w:val="bottom"/>
            <w:hideMark/>
          </w:tcPr>
          <w:p w:rsidR="00C34341" w:rsidRPr="00697E48" w:rsidRDefault="00C34341" w:rsidP="002B10DE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697E48">
              <w:rPr>
                <w:sz w:val="14"/>
                <w:szCs w:val="14"/>
                <w:lang w:val="en-US" w:eastAsia="ru-RU"/>
              </w:rPr>
              <w:t>(</w:t>
            </w:r>
            <w:proofErr w:type="spellStart"/>
            <w:r w:rsidRPr="00697E48">
              <w:rPr>
                <w:sz w:val="14"/>
                <w:szCs w:val="14"/>
                <w:lang w:val="en-US" w:eastAsia="ru-RU"/>
              </w:rPr>
              <w:t>наименование</w:t>
            </w:r>
            <w:proofErr w:type="spellEnd"/>
            <w:r w:rsidRPr="00697E48">
              <w:rPr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697E48">
              <w:rPr>
                <w:sz w:val="14"/>
                <w:szCs w:val="14"/>
                <w:lang w:val="en-US" w:eastAsia="ru-RU"/>
              </w:rPr>
              <w:t>клирингового</w:t>
            </w:r>
            <w:proofErr w:type="spellEnd"/>
            <w:r w:rsidRPr="00697E48">
              <w:rPr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697E48">
              <w:rPr>
                <w:sz w:val="14"/>
                <w:szCs w:val="14"/>
                <w:lang w:val="en-US" w:eastAsia="ru-RU"/>
              </w:rPr>
              <w:t>участника</w:t>
            </w:r>
            <w:proofErr w:type="spellEnd"/>
            <w:r w:rsidRPr="00697E48">
              <w:rPr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hideMark/>
          </w:tcPr>
          <w:p w:rsidR="00C34341" w:rsidRPr="00697E48" w:rsidRDefault="00C34341" w:rsidP="002B10DE">
            <w:pPr>
              <w:spacing w:before="60" w:after="60"/>
              <w:rPr>
                <w:rFonts w:cs="Arial"/>
                <w:color w:val="000000"/>
                <w:lang w:val="en-US" w:eastAsia="ru-RU"/>
              </w:rPr>
            </w:pPr>
            <w:proofErr w:type="spellStart"/>
            <w:r w:rsidRPr="00697E48">
              <w:rPr>
                <w:sz w:val="18"/>
                <w:szCs w:val="18"/>
                <w:lang w:val="en-US" w:eastAsia="ru-RU"/>
              </w:rPr>
              <w:t>Дата</w:t>
            </w:r>
            <w:proofErr w:type="spellEnd"/>
            <w:r w:rsidRPr="00697E48">
              <w:rPr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7E48">
              <w:rPr>
                <w:sz w:val="18"/>
                <w:szCs w:val="18"/>
                <w:lang w:val="en-US" w:eastAsia="ru-RU"/>
              </w:rPr>
              <w:t>предоставления</w:t>
            </w:r>
            <w:proofErr w:type="spellEnd"/>
            <w:r w:rsidRPr="00697E48">
              <w:rPr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7E48">
              <w:rPr>
                <w:sz w:val="18"/>
                <w:szCs w:val="18"/>
                <w:lang w:val="en-US" w:eastAsia="ru-RU"/>
              </w:rPr>
              <w:t>заявления</w:t>
            </w:r>
            <w:proofErr w:type="spellEnd"/>
          </w:p>
        </w:tc>
      </w:tr>
      <w:tr w:rsidR="00C34341" w:rsidRPr="00697E48" w:rsidTr="002B10DE">
        <w:trPr>
          <w:trHeight w:val="720"/>
        </w:trPr>
        <w:tc>
          <w:tcPr>
            <w:tcW w:w="0" w:type="auto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  <w:hideMark/>
          </w:tcPr>
          <w:p w:rsidR="00C34341" w:rsidRPr="00697E48" w:rsidRDefault="00C34341" w:rsidP="002B10DE">
            <w:pPr>
              <w:widowControl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37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hideMark/>
          </w:tcPr>
          <w:p w:rsidR="00C34341" w:rsidRPr="00697E48" w:rsidRDefault="00C34341" w:rsidP="002B10DE">
            <w:pPr>
              <w:spacing w:before="60" w:after="60"/>
              <w:rPr>
                <w:rFonts w:cs="Arial"/>
                <w:color w:val="000000"/>
                <w:lang w:val="en-US" w:eastAsia="ru-RU"/>
              </w:rPr>
            </w:pPr>
            <w:proofErr w:type="spellStart"/>
            <w:r w:rsidRPr="00697E48">
              <w:rPr>
                <w:sz w:val="18"/>
                <w:szCs w:val="18"/>
                <w:lang w:val="en-US" w:eastAsia="ru-RU"/>
              </w:rPr>
              <w:t>Время</w:t>
            </w:r>
            <w:proofErr w:type="spellEnd"/>
            <w:r w:rsidRPr="00697E48">
              <w:rPr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7E48">
              <w:rPr>
                <w:sz w:val="18"/>
                <w:szCs w:val="18"/>
                <w:lang w:val="en-US" w:eastAsia="ru-RU"/>
              </w:rPr>
              <w:t>предоставления</w:t>
            </w:r>
            <w:proofErr w:type="spellEnd"/>
            <w:r w:rsidRPr="00697E48">
              <w:rPr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97E48">
              <w:rPr>
                <w:sz w:val="18"/>
                <w:szCs w:val="18"/>
                <w:lang w:val="en-US" w:eastAsia="ru-RU"/>
              </w:rPr>
              <w:t>заявления</w:t>
            </w:r>
            <w:proofErr w:type="spellEnd"/>
          </w:p>
        </w:tc>
      </w:tr>
    </w:tbl>
    <w:p w:rsidR="00C34341" w:rsidRPr="00697E48" w:rsidRDefault="00C34341" w:rsidP="00C34341">
      <w:pPr>
        <w:spacing w:after="120"/>
        <w:rPr>
          <w:lang w:eastAsia="ru-RU"/>
        </w:rPr>
      </w:pPr>
    </w:p>
    <w:p w:rsidR="00C34341" w:rsidRPr="00697E48" w:rsidRDefault="00C34341" w:rsidP="00C34341">
      <w:pPr>
        <w:widowControl/>
        <w:spacing w:after="120"/>
        <w:jc w:val="both"/>
      </w:pPr>
      <w:r w:rsidRPr="00697E48">
        <w:rPr>
          <w:lang w:eastAsia="ru-RU"/>
        </w:rPr>
        <w:t>Настоящим вышеназванный клиринговый участник просит Биржу осуществить возврат гарантийного взноса ранее зачисленного в клиринговый гарантийный фонд на следующие реквизиты</w:t>
      </w:r>
      <w:r w:rsidRPr="00697E48">
        <w:t>:</w:t>
      </w:r>
    </w:p>
    <w:tbl>
      <w:tblPr>
        <w:tblW w:w="5000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2570"/>
        <w:gridCol w:w="2573"/>
        <w:gridCol w:w="4428"/>
      </w:tblGrid>
      <w:tr w:rsidR="00C34341" w:rsidRPr="00697E48" w:rsidTr="002B10DE">
        <w:tc>
          <w:tcPr>
            <w:tcW w:w="134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  <w:vAlign w:val="center"/>
            <w:hideMark/>
          </w:tcPr>
          <w:p w:rsidR="00C34341" w:rsidRPr="00697E48" w:rsidRDefault="00C34341" w:rsidP="002B10DE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sz w:val="18"/>
                <w:szCs w:val="16"/>
                <w:lang w:eastAsia="ru-RU"/>
              </w:rPr>
            </w:pPr>
            <w:r w:rsidRPr="00697E48">
              <w:rPr>
                <w:rFonts w:ascii="Arial Narrow" w:hAnsi="Arial Narrow"/>
                <w:b/>
                <w:color w:val="FFFFFF"/>
                <w:sz w:val="18"/>
                <w:szCs w:val="16"/>
                <w:lang w:eastAsia="ru-RU"/>
              </w:rPr>
              <w:t xml:space="preserve">Гарантийный взнос </w:t>
            </w:r>
            <w:r w:rsidRPr="00697E48">
              <w:rPr>
                <w:rFonts w:ascii="Arial Narrow" w:hAnsi="Arial Narrow"/>
                <w:b/>
                <w:color w:val="FFFFFF"/>
                <w:sz w:val="18"/>
                <w:szCs w:val="16"/>
                <w:lang w:eastAsia="ru-RU"/>
              </w:rPr>
              <w:br/>
              <w:t>в клиринговый гарантийный фонд</w:t>
            </w:r>
          </w:p>
          <w:p w:rsidR="00C34341" w:rsidRPr="00697E48" w:rsidRDefault="00C34341" w:rsidP="002B10DE">
            <w:pPr>
              <w:spacing w:before="60" w:after="60"/>
              <w:jc w:val="center"/>
              <w:rPr>
                <w:lang w:eastAsia="ru-RU"/>
              </w:rPr>
            </w:pPr>
            <w:r w:rsidRPr="00697E48">
              <w:rPr>
                <w:color w:val="FFFFFF" w:themeColor="background1"/>
                <w:sz w:val="14"/>
                <w:szCs w:val="14"/>
              </w:rPr>
              <w:t>(Отметить нужный</w:t>
            </w:r>
            <w:r w:rsidRPr="00697E48">
              <w:rPr>
                <w:color w:val="FFFFFF" w:themeColor="background1"/>
                <w:sz w:val="14"/>
                <w:szCs w:val="14"/>
              </w:rPr>
              <w:br/>
              <w:t xml:space="preserve"> вариант знаком </w:t>
            </w:r>
            <w:r w:rsidRPr="00697E48">
              <w:rPr>
                <w:color w:val="FFFFFF" w:themeColor="background1"/>
                <w:sz w:val="14"/>
                <w:szCs w:val="14"/>
              </w:rPr>
              <w:sym w:font="Wingdings 2" w:char="F050"/>
            </w:r>
            <w:r w:rsidRPr="00697E48">
              <w:rPr>
                <w:color w:val="FFFFFF" w:themeColor="background1"/>
                <w:sz w:val="14"/>
                <w:szCs w:val="14"/>
              </w:rPr>
              <w:t>)</w:t>
            </w:r>
          </w:p>
        </w:tc>
        <w:tc>
          <w:tcPr>
            <w:tcW w:w="1344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  <w:vAlign w:val="center"/>
            <w:hideMark/>
          </w:tcPr>
          <w:p w:rsidR="00C34341" w:rsidRPr="00697E48" w:rsidRDefault="00C34341" w:rsidP="002B10DE">
            <w:pPr>
              <w:spacing w:before="60" w:after="60"/>
              <w:jc w:val="center"/>
              <w:rPr>
                <w:sz w:val="18"/>
                <w:szCs w:val="18"/>
                <w:lang w:eastAsia="ru-RU"/>
              </w:rPr>
            </w:pPr>
            <w:r w:rsidRPr="00697E48">
              <w:rPr>
                <w:rFonts w:ascii="Arial Narrow" w:hAnsi="Arial Narrow"/>
                <w:b/>
                <w:color w:val="FFFFFF"/>
                <w:sz w:val="18"/>
                <w:szCs w:val="16"/>
                <w:lang w:eastAsia="ru-RU"/>
              </w:rPr>
              <w:t>Сумма возвращаемой валюты</w:t>
            </w:r>
            <w:r w:rsidRPr="00697E48">
              <w:rPr>
                <w:rFonts w:ascii="Arial Narrow" w:hAnsi="Arial Narrow"/>
                <w:b/>
                <w:color w:val="FFFFFF"/>
                <w:sz w:val="18"/>
                <w:szCs w:val="16"/>
                <w:vertAlign w:val="superscript"/>
                <w:lang w:eastAsia="ru-RU"/>
              </w:rPr>
              <w:br/>
            </w:r>
            <w:r w:rsidRPr="00697E48">
              <w:rPr>
                <w:color w:val="FFFFFF" w:themeColor="background1"/>
                <w:sz w:val="14"/>
                <w:szCs w:val="14"/>
              </w:rPr>
              <w:t>(цифрами и прописью)</w:t>
            </w:r>
          </w:p>
        </w:tc>
        <w:tc>
          <w:tcPr>
            <w:tcW w:w="2314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  <w:vAlign w:val="center"/>
          </w:tcPr>
          <w:p w:rsidR="00C34341" w:rsidRPr="00697E48" w:rsidRDefault="00C34341" w:rsidP="002B10DE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sz w:val="18"/>
                <w:szCs w:val="16"/>
                <w:lang w:eastAsia="ru-RU"/>
              </w:rPr>
            </w:pPr>
            <w:r w:rsidRPr="00697E48">
              <w:rPr>
                <w:rFonts w:ascii="Arial Narrow" w:hAnsi="Arial Narrow"/>
                <w:b/>
                <w:color w:val="FFFFFF"/>
                <w:sz w:val="18"/>
                <w:szCs w:val="16"/>
                <w:lang w:eastAsia="ru-RU"/>
              </w:rPr>
              <w:t>Банковские реквизиты</w:t>
            </w:r>
          </w:p>
        </w:tc>
      </w:tr>
      <w:tr w:rsidR="00C34341" w:rsidRPr="00697E48" w:rsidTr="002B10DE">
        <w:trPr>
          <w:trHeight w:val="740"/>
        </w:trPr>
        <w:tc>
          <w:tcPr>
            <w:tcW w:w="134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  <w:hideMark/>
          </w:tcPr>
          <w:p w:rsidR="00C34341" w:rsidRPr="00697E48" w:rsidRDefault="00C34341" w:rsidP="002B10DE">
            <w:pPr>
              <w:widowControl/>
              <w:tabs>
                <w:tab w:val="left" w:pos="288"/>
              </w:tabs>
              <w:spacing w:before="60" w:after="60"/>
              <w:ind w:left="288" w:hanging="28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7E48">
              <w:rPr>
                <w:rFonts w:ascii="Arial Narrow" w:hAnsi="Arial Narrow"/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697E48">
              <w:rPr>
                <w:rFonts w:ascii="Arial Narrow" w:hAnsi="Arial Narrow"/>
                <w:color w:val="FFFFFF"/>
                <w:sz w:val="18"/>
                <w:szCs w:val="18"/>
              </w:rPr>
              <w:tab/>
            </w:r>
            <w:r w:rsidRPr="00697E48">
              <w:rPr>
                <w:rFonts w:ascii="Arial Narrow" w:hAnsi="Arial Narrow"/>
                <w:b/>
                <w:sz w:val="18"/>
                <w:szCs w:val="18"/>
              </w:rPr>
              <w:t>рынка</w:t>
            </w:r>
            <w:r w:rsidRPr="00697E4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97E48">
              <w:rPr>
                <w:rFonts w:ascii="Arial Narrow" w:hAnsi="Arial Narrow"/>
                <w:b/>
                <w:sz w:val="18"/>
                <w:szCs w:val="18"/>
              </w:rPr>
              <w:t>деривативов</w:t>
            </w:r>
            <w:proofErr w:type="spellEnd"/>
          </w:p>
        </w:tc>
        <w:tc>
          <w:tcPr>
            <w:tcW w:w="1344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:rsidR="00C34341" w:rsidRPr="00697E48" w:rsidRDefault="00C34341" w:rsidP="002B10DE">
            <w:pPr>
              <w:spacing w:before="60" w:after="60"/>
              <w:rPr>
                <w:lang w:eastAsia="ru-RU"/>
              </w:rPr>
            </w:pPr>
          </w:p>
        </w:tc>
        <w:tc>
          <w:tcPr>
            <w:tcW w:w="2314" w:type="pct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D0CECE"/>
          </w:tcPr>
          <w:p w:rsidR="00C34341" w:rsidRPr="00697E48" w:rsidRDefault="00C34341" w:rsidP="002B10DE">
            <w:pPr>
              <w:spacing w:before="60" w:after="60"/>
              <w:rPr>
                <w:lang w:eastAsia="ru-RU"/>
              </w:rPr>
            </w:pPr>
          </w:p>
        </w:tc>
      </w:tr>
      <w:tr w:rsidR="00C34341" w:rsidRPr="00697E48" w:rsidTr="002B10DE">
        <w:trPr>
          <w:trHeight w:val="740"/>
        </w:trPr>
        <w:tc>
          <w:tcPr>
            <w:tcW w:w="134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  <w:hideMark/>
          </w:tcPr>
          <w:p w:rsidR="00C34341" w:rsidRPr="00697E48" w:rsidRDefault="00C34341" w:rsidP="002B10DE">
            <w:pPr>
              <w:widowControl/>
              <w:tabs>
                <w:tab w:val="left" w:pos="288"/>
              </w:tabs>
              <w:spacing w:before="60" w:after="60"/>
              <w:ind w:left="288" w:hanging="288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 w:rsidRPr="00697E48">
              <w:rPr>
                <w:rFonts w:ascii="Arial Narrow" w:hAnsi="Arial Narrow"/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697E48">
              <w:rPr>
                <w:rFonts w:ascii="Arial Narrow" w:hAnsi="Arial Narrow"/>
                <w:color w:val="FFFFFF"/>
                <w:sz w:val="18"/>
                <w:szCs w:val="18"/>
              </w:rPr>
              <w:tab/>
            </w:r>
            <w:r w:rsidRPr="00697E48">
              <w:rPr>
                <w:rFonts w:ascii="Arial Narrow" w:hAnsi="Arial Narrow"/>
                <w:b/>
                <w:sz w:val="18"/>
                <w:szCs w:val="18"/>
              </w:rPr>
              <w:t>фондового рынка</w:t>
            </w:r>
            <w:r w:rsidRPr="00697E48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4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:rsidR="00C34341" w:rsidRPr="00697E48" w:rsidRDefault="00C34341" w:rsidP="002B10DE">
            <w:pPr>
              <w:spacing w:before="60" w:after="60"/>
              <w:rPr>
                <w:lang w:eastAsia="ru-RU"/>
              </w:rPr>
            </w:pPr>
          </w:p>
        </w:tc>
        <w:tc>
          <w:tcPr>
            <w:tcW w:w="2314" w:type="pct"/>
            <w:vMerge/>
            <w:tcBorders>
              <w:left w:val="single" w:sz="24" w:space="0" w:color="FFFFFF"/>
              <w:right w:val="single" w:sz="24" w:space="0" w:color="FFFFFF"/>
            </w:tcBorders>
            <w:shd w:val="clear" w:color="auto" w:fill="D0CECE"/>
          </w:tcPr>
          <w:p w:rsidR="00C34341" w:rsidRPr="00697E48" w:rsidRDefault="00C34341" w:rsidP="002B10DE">
            <w:pPr>
              <w:spacing w:before="60" w:after="60"/>
              <w:jc w:val="right"/>
              <w:rPr>
                <w:lang w:eastAsia="ru-RU"/>
              </w:rPr>
            </w:pPr>
          </w:p>
        </w:tc>
      </w:tr>
      <w:tr w:rsidR="00C34341" w:rsidRPr="00697E48" w:rsidTr="002B10DE">
        <w:trPr>
          <w:trHeight w:val="740"/>
        </w:trPr>
        <w:tc>
          <w:tcPr>
            <w:tcW w:w="134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  <w:hideMark/>
          </w:tcPr>
          <w:p w:rsidR="00C34341" w:rsidRPr="00697E48" w:rsidRDefault="00C34341" w:rsidP="002B10DE">
            <w:pPr>
              <w:widowControl/>
              <w:tabs>
                <w:tab w:val="left" w:pos="288"/>
              </w:tabs>
              <w:spacing w:before="60" w:after="60"/>
              <w:ind w:left="288" w:hanging="288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 w:rsidRPr="00697E48">
              <w:rPr>
                <w:rFonts w:ascii="Arial Narrow" w:hAnsi="Arial Narrow"/>
                <w:color w:val="FFFFFF"/>
                <w:sz w:val="18"/>
                <w:szCs w:val="18"/>
                <w:lang w:val="en-US"/>
              </w:rPr>
              <w:sym w:font="Wingdings 2" w:char="F0A2"/>
            </w:r>
            <w:r w:rsidRPr="00697E48">
              <w:rPr>
                <w:rFonts w:ascii="Arial Narrow" w:hAnsi="Arial Narrow"/>
                <w:color w:val="FFFFFF"/>
                <w:sz w:val="18"/>
                <w:szCs w:val="18"/>
              </w:rPr>
              <w:tab/>
            </w:r>
            <w:r w:rsidRPr="00697E48">
              <w:rPr>
                <w:rFonts w:ascii="Arial Narrow" w:hAnsi="Arial Narrow"/>
                <w:b/>
                <w:sz w:val="18"/>
                <w:szCs w:val="18"/>
              </w:rPr>
              <w:t>валютного рынка</w:t>
            </w:r>
          </w:p>
        </w:tc>
        <w:tc>
          <w:tcPr>
            <w:tcW w:w="1344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</w:tcPr>
          <w:p w:rsidR="00C34341" w:rsidRPr="00697E48" w:rsidRDefault="00C34341" w:rsidP="002B10DE">
            <w:pPr>
              <w:spacing w:before="60" w:after="60"/>
              <w:rPr>
                <w:lang w:eastAsia="ru-RU"/>
              </w:rPr>
            </w:pPr>
          </w:p>
        </w:tc>
        <w:tc>
          <w:tcPr>
            <w:tcW w:w="2314" w:type="pct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C34341" w:rsidRPr="00697E48" w:rsidRDefault="00C34341" w:rsidP="002B10DE">
            <w:pPr>
              <w:spacing w:before="60" w:after="60"/>
              <w:jc w:val="right"/>
              <w:rPr>
                <w:lang w:eastAsia="ru-RU"/>
              </w:rPr>
            </w:pPr>
          </w:p>
        </w:tc>
      </w:tr>
    </w:tbl>
    <w:p w:rsidR="00C34341" w:rsidRPr="00697E48" w:rsidRDefault="00C34341" w:rsidP="00C34341">
      <w:pPr>
        <w:widowControl/>
        <w:spacing w:after="120"/>
      </w:pPr>
    </w:p>
    <w:p w:rsidR="00C34341" w:rsidRPr="00697E48" w:rsidRDefault="00C34341" w:rsidP="00C34341">
      <w:pPr>
        <w:spacing w:after="120"/>
        <w:jc w:val="both"/>
        <w:rPr>
          <w:lang w:eastAsia="ru-RU"/>
        </w:rPr>
      </w:pPr>
    </w:p>
    <w:p w:rsidR="00C34341" w:rsidRPr="00697E48" w:rsidRDefault="00C34341" w:rsidP="00C34341">
      <w:pPr>
        <w:spacing w:after="120"/>
        <w:rPr>
          <w:lang w:val="en-US" w:eastAsia="ru-RU"/>
        </w:rPr>
      </w:pPr>
    </w:p>
    <w:p w:rsidR="00C34341" w:rsidRPr="00697E48" w:rsidRDefault="00C34341" w:rsidP="00C34341">
      <w:pPr>
        <w:spacing w:after="120"/>
        <w:rPr>
          <w:lang w:val="en-US" w:eastAsia="ru-RU"/>
        </w:rPr>
      </w:pPr>
    </w:p>
    <w:p w:rsidR="00C34341" w:rsidRPr="00697E48" w:rsidRDefault="00C34341" w:rsidP="00C34341">
      <w:pPr>
        <w:tabs>
          <w:tab w:val="center" w:pos="4507"/>
          <w:tab w:val="right" w:pos="9029"/>
        </w:tabs>
        <w:spacing w:after="120"/>
        <w:jc w:val="both"/>
      </w:pPr>
      <w:r w:rsidRPr="00697E48">
        <w:t>[Должность первого руководителя]</w:t>
      </w:r>
      <w:r w:rsidRPr="00697E48">
        <w:tab/>
        <w:t>[подпись]</w:t>
      </w:r>
      <w:r w:rsidRPr="00697E48">
        <w:tab/>
        <w:t>[Фамилия, инициалы]</w:t>
      </w:r>
    </w:p>
    <w:p w:rsidR="00C34341" w:rsidRPr="00697E48" w:rsidRDefault="00C34341" w:rsidP="00C34341">
      <w:pPr>
        <w:spacing w:after="120"/>
        <w:jc w:val="both"/>
      </w:pPr>
    </w:p>
    <w:p w:rsidR="00C34341" w:rsidRDefault="00C34341" w:rsidP="00C34341">
      <w:pPr>
        <w:tabs>
          <w:tab w:val="center" w:pos="4507"/>
          <w:tab w:val="right" w:pos="9029"/>
        </w:tabs>
        <w:spacing w:after="120"/>
        <w:jc w:val="both"/>
      </w:pPr>
      <w:r w:rsidRPr="00697E48">
        <w:t>[Должность главного бухгалтера]</w:t>
      </w:r>
      <w:r w:rsidRPr="00697E48">
        <w:tab/>
        <w:t>[подпись]</w:t>
      </w:r>
      <w:r w:rsidRPr="00697E48">
        <w:tab/>
        <w:t>[Фамилия, инициалы]</w:t>
      </w:r>
    </w:p>
    <w:p w:rsidR="00C34341" w:rsidRPr="003A62DA" w:rsidRDefault="00C34341" w:rsidP="00C34341">
      <w:pPr>
        <w:widowControl/>
        <w:tabs>
          <w:tab w:val="left" w:pos="5055"/>
        </w:tabs>
        <w:spacing w:after="120"/>
      </w:pPr>
      <w:r>
        <w:tab/>
      </w:r>
    </w:p>
    <w:p w:rsidR="00C34341" w:rsidRDefault="00C34341" w:rsidP="00C34341">
      <w:pPr>
        <w:widowControl/>
        <w:spacing w:after="120"/>
      </w:pPr>
    </w:p>
    <w:p w:rsidR="004504A4" w:rsidRDefault="004504A4">
      <w:bookmarkStart w:id="0" w:name="_GoBack"/>
      <w:bookmarkEnd w:id="0"/>
    </w:p>
    <w:sectPr w:rsidR="004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1"/>
    <w:rsid w:val="004504A4"/>
    <w:rsid w:val="00C3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4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C34341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341"/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41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C34341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341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Ажимова</dc:creator>
  <cp:lastModifiedBy>Камшат Ажимова</cp:lastModifiedBy>
  <cp:revision>1</cp:revision>
  <dcterms:created xsi:type="dcterms:W3CDTF">2020-10-08T04:26:00Z</dcterms:created>
  <dcterms:modified xsi:type="dcterms:W3CDTF">2020-10-08T04:27:00Z</dcterms:modified>
</cp:coreProperties>
</file>