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01D6" w14:textId="77777777" w:rsidR="008B0F14" w:rsidRDefault="008B0F14" w:rsidP="008B0F14">
      <w:pPr>
        <w:pageBreakBefore/>
        <w:spacing w:after="120"/>
        <w:ind w:left="6379"/>
        <w:rPr>
          <w:b/>
        </w:rPr>
      </w:pPr>
      <w:r>
        <w:rPr>
          <w:b/>
        </w:rPr>
        <w:t xml:space="preserve">Приложение </w:t>
      </w:r>
      <w:r w:rsidRPr="00B84FFA">
        <w:rPr>
          <w:b/>
        </w:rPr>
        <w:t>6</w:t>
      </w:r>
    </w:p>
    <w:p w14:paraId="7FFC3193" w14:textId="77777777" w:rsidR="008B0F14" w:rsidRDefault="008B0F14" w:rsidP="008B0F14">
      <w:pPr>
        <w:spacing w:after="120"/>
        <w:ind w:left="6379"/>
        <w:rPr>
          <w:sz w:val="16"/>
        </w:rPr>
      </w:pPr>
      <w:r>
        <w:t xml:space="preserve">к Правилам осуществления расчетов по </w:t>
      </w:r>
      <w:r w:rsidRPr="007E352B">
        <w:t>торгам</w:t>
      </w:r>
      <w:r>
        <w:t xml:space="preserve"> иностранными валютами</w:t>
      </w:r>
    </w:p>
    <w:p w14:paraId="0906D582" w14:textId="77777777" w:rsidR="008B0F14" w:rsidRPr="00444A94" w:rsidRDefault="008B0F14" w:rsidP="008B0F14">
      <w:pPr>
        <w:widowControl w:val="0"/>
        <w:spacing w:after="120"/>
        <w:rPr>
          <w:lang w:eastAsia="ru-RU"/>
        </w:rPr>
      </w:pPr>
    </w:p>
    <w:p w14:paraId="66398E80" w14:textId="77777777" w:rsidR="008B0F14" w:rsidRDefault="008B0F14" w:rsidP="008B0F14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ЗАЯВЛЕНИЕ</w:t>
      </w:r>
    </w:p>
    <w:p w14:paraId="491CC022" w14:textId="77777777" w:rsidR="008B0F14" w:rsidRDefault="008B0F14" w:rsidP="008B0F1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8757B1">
        <w:rPr>
          <w:rFonts w:ascii="Times New Roman" w:hAnsi="Times New Roman"/>
          <w:b/>
          <w:color w:val="800000"/>
          <w:sz w:val="24"/>
          <w:lang w:eastAsia="ru-RU"/>
        </w:rPr>
        <w:t>об указании банковского счета</w:t>
      </w:r>
      <w:r w:rsidRPr="008757B1">
        <w:rPr>
          <w:rFonts w:ascii="Times New Roman" w:hAnsi="Times New Roman"/>
          <w:b/>
          <w:color w:val="800000"/>
          <w:sz w:val="24"/>
        </w:rPr>
        <w:t xml:space="preserve"> для зачисления Биржей денег</w:t>
      </w:r>
      <w:r>
        <w:rPr>
          <w:rFonts w:ascii="Times New Roman" w:hAnsi="Times New Roman"/>
          <w:b/>
          <w:color w:val="800000"/>
          <w:spacing w:val="60"/>
          <w:sz w:val="28"/>
        </w:rPr>
        <w:t xml:space="preserve"> </w:t>
      </w:r>
    </w:p>
    <w:p w14:paraId="6F03A6F3" w14:textId="77777777" w:rsidR="008B0F14" w:rsidRPr="007E352B" w:rsidRDefault="008B0F14" w:rsidP="008B0F14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8B0F14" w:rsidRPr="00503A30" w14:paraId="20220038" w14:textId="77777777" w:rsidTr="00DE6AAB">
        <w:tc>
          <w:tcPr>
            <w:tcW w:w="5508" w:type="dxa"/>
            <w:shd w:val="clear" w:color="auto" w:fill="FFFFFF"/>
            <w:vAlign w:val="bottom"/>
          </w:tcPr>
          <w:p w14:paraId="7A28A6DE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FFFFFF"/>
          </w:tcPr>
          <w:p w14:paraId="049696C0" w14:textId="77777777" w:rsidR="008B0F14" w:rsidRPr="00503A30" w:rsidRDefault="008B0F14" w:rsidP="00DE6AAB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503A30">
              <w:rPr>
                <w:lang w:eastAsia="ru-RU"/>
              </w:rPr>
              <w:t>АО "Казахстанская фондовая биржа"</w:t>
            </w:r>
          </w:p>
        </w:tc>
      </w:tr>
      <w:tr w:rsidR="008B0F14" w:rsidRPr="00503A30" w14:paraId="088FF812" w14:textId="77777777" w:rsidTr="00DE6AAB">
        <w:trPr>
          <w:trHeight w:val="720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536F2E39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(наименование </w:t>
            </w:r>
            <w:r>
              <w:rPr>
                <w:sz w:val="14"/>
                <w:szCs w:val="14"/>
                <w:lang w:eastAsia="ru-RU"/>
              </w:rPr>
              <w:t xml:space="preserve">клирингового </w:t>
            </w:r>
            <w:r w:rsidRPr="00503A30">
              <w:rPr>
                <w:sz w:val="14"/>
                <w:szCs w:val="14"/>
                <w:lang w:eastAsia="ru-RU"/>
              </w:rPr>
              <w:t>участника)</w:t>
            </w:r>
          </w:p>
        </w:tc>
        <w:tc>
          <w:tcPr>
            <w:tcW w:w="3735" w:type="dxa"/>
            <w:shd w:val="clear" w:color="auto" w:fill="D0CECE"/>
          </w:tcPr>
          <w:p w14:paraId="6B4D1E4A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Дата предоставления </w:t>
            </w:r>
            <w:r>
              <w:rPr>
                <w:sz w:val="18"/>
                <w:szCs w:val="18"/>
                <w:lang w:eastAsia="ru-RU"/>
              </w:rPr>
              <w:t>распоряжения</w:t>
            </w:r>
          </w:p>
        </w:tc>
      </w:tr>
      <w:tr w:rsidR="008B0F14" w:rsidRPr="00503A30" w14:paraId="42DF5F72" w14:textId="77777777" w:rsidTr="00DE6AAB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162C6F55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41B7CA79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Время предоставления </w:t>
            </w:r>
            <w:r>
              <w:rPr>
                <w:sz w:val="18"/>
                <w:szCs w:val="18"/>
                <w:lang w:eastAsia="ru-RU"/>
              </w:rPr>
              <w:t>распоряжения</w:t>
            </w:r>
          </w:p>
        </w:tc>
      </w:tr>
      <w:tr w:rsidR="008B0F14" w:rsidRPr="00503A30" w14:paraId="4D84550B" w14:textId="77777777" w:rsidTr="00DE6AAB">
        <w:trPr>
          <w:trHeight w:val="720"/>
        </w:trPr>
        <w:tc>
          <w:tcPr>
            <w:tcW w:w="5508" w:type="dxa"/>
            <w:vMerge/>
            <w:shd w:val="clear" w:color="auto" w:fill="FBE4D5"/>
          </w:tcPr>
          <w:p w14:paraId="0E5D69F0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30B5E7A4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  <w:r w:rsidRPr="00503A30">
              <w:rPr>
                <w:sz w:val="18"/>
                <w:szCs w:val="18"/>
                <w:lang w:eastAsia="ru-RU"/>
              </w:rPr>
              <w:t xml:space="preserve">Дата, с которой действует </w:t>
            </w:r>
            <w:r>
              <w:rPr>
                <w:sz w:val="18"/>
                <w:szCs w:val="18"/>
                <w:lang w:eastAsia="ru-RU"/>
              </w:rPr>
              <w:t>распоряжение</w:t>
            </w:r>
          </w:p>
        </w:tc>
      </w:tr>
    </w:tbl>
    <w:p w14:paraId="68BF785C" w14:textId="77777777" w:rsidR="008B0F14" w:rsidRDefault="008B0F14" w:rsidP="008B0F14">
      <w:pPr>
        <w:widowControl w:val="0"/>
        <w:spacing w:after="120"/>
        <w:rPr>
          <w:lang w:eastAsia="ru-RU"/>
        </w:rPr>
      </w:pPr>
    </w:p>
    <w:p w14:paraId="14795ACF" w14:textId="77777777" w:rsidR="008B0F14" w:rsidRDefault="008B0F14" w:rsidP="008B0F14">
      <w:pPr>
        <w:spacing w:after="120"/>
        <w:jc w:val="both"/>
      </w:pPr>
      <w:r w:rsidRPr="00503A30">
        <w:rPr>
          <w:lang w:eastAsia="ru-RU"/>
        </w:rPr>
        <w:t xml:space="preserve">Настоящим вышеназванный </w:t>
      </w:r>
      <w:r>
        <w:rPr>
          <w:lang w:eastAsia="ru-RU"/>
        </w:rPr>
        <w:t xml:space="preserve">клиринговый участник </w:t>
      </w:r>
      <w:r w:rsidRPr="00503A30">
        <w:rPr>
          <w:lang w:eastAsia="ru-RU"/>
        </w:rPr>
        <w:t xml:space="preserve">уведомляет, что </w:t>
      </w:r>
      <w:r>
        <w:rPr>
          <w:lang w:eastAsia="ru-RU"/>
        </w:rPr>
        <w:t xml:space="preserve">казахстанские </w:t>
      </w:r>
      <w:r>
        <w:t>тенге</w:t>
      </w:r>
      <w:r>
        <w:br/>
        <w:t xml:space="preserve">в оплату проданной им иностранной валюты либо приобретенная им иностранная валюта должны быть перечислены на следующие </w:t>
      </w:r>
      <w:r w:rsidRPr="0033031B">
        <w:t xml:space="preserve">банковские </w:t>
      </w:r>
      <w:r>
        <w:t>счета в следующих обслуживающих банках: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84"/>
        <w:gridCol w:w="3929"/>
        <w:gridCol w:w="3930"/>
      </w:tblGrid>
      <w:tr w:rsidR="008B0F14" w:rsidRPr="00503A30" w14:paraId="5687D3BE" w14:textId="77777777" w:rsidTr="00DE6AAB">
        <w:tc>
          <w:tcPr>
            <w:tcW w:w="1384" w:type="dxa"/>
            <w:shd w:val="clear" w:color="auto" w:fill="0070C0"/>
            <w:vAlign w:val="center"/>
          </w:tcPr>
          <w:p w14:paraId="0E9D7492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498DAF73" w14:textId="77777777" w:rsidR="008B0F14" w:rsidRPr="00330412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Обслуживающий банк</w:t>
            </w:r>
            <w:r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/реквизиты банковского счета</w:t>
            </w:r>
            <w:r w:rsidRPr="00330412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5B90A146" w14:textId="77777777" w:rsidR="008B0F14" w:rsidRPr="00330412" w:rsidRDefault="008B0F14" w:rsidP="00DE6AAB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Сумма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 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п</w:t>
            </w: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еречисляемой</w:t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</w:r>
            <w:r w:rsidRPr="00503A30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валюты</w:t>
            </w:r>
            <w:r>
              <w:rPr>
                <w:rFonts w:ascii="Arial Narrow" w:hAnsi="Arial Narrow"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8B0F14" w:rsidRPr="00503A30" w14:paraId="0A18508B" w14:textId="77777777" w:rsidTr="00DE6AAB">
        <w:tc>
          <w:tcPr>
            <w:tcW w:w="1384" w:type="dxa"/>
            <w:shd w:val="clear" w:color="auto" w:fill="D0CECE"/>
          </w:tcPr>
          <w:p w14:paraId="33D30DA5" w14:textId="77777777" w:rsidR="008B0F14" w:rsidRDefault="008B0F14" w:rsidP="00DE6AA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42BF42D1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0029E1">
              <w:rPr>
                <w:sz w:val="14"/>
                <w:szCs w:val="14"/>
                <w:lang w:eastAsia="ru-RU"/>
              </w:rPr>
              <w:t>(код валюты</w:t>
            </w:r>
            <w:r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0029E1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3E731787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605A7A72" w14:textId="77777777" w:rsidR="008B0F14" w:rsidRPr="00503A30" w:rsidRDefault="008B0F14" w:rsidP="00DE6AAB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61D691E7" w14:textId="77777777" w:rsidR="008B0F14" w:rsidRDefault="008B0F14" w:rsidP="008B0F1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 w:rsidRPr="009532AE">
        <w:rPr>
          <w:sz w:val="14"/>
          <w:szCs w:val="14"/>
          <w:vertAlign w:val="superscript"/>
        </w:rPr>
        <w:t>1</w:t>
      </w:r>
      <w:r w:rsidRPr="009532AE">
        <w:rPr>
          <w:sz w:val="14"/>
          <w:szCs w:val="14"/>
        </w:rPr>
        <w:tab/>
      </w:r>
      <w:r>
        <w:rPr>
          <w:sz w:val="14"/>
          <w:szCs w:val="14"/>
        </w:rPr>
        <w:t>Заполняется только для иностранной валюты. Н</w:t>
      </w:r>
      <w:r w:rsidRPr="00A34D7F">
        <w:rPr>
          <w:sz w:val="14"/>
          <w:szCs w:val="14"/>
        </w:rPr>
        <w:t>еобходимо указать только наименование</w:t>
      </w:r>
      <w:r>
        <w:rPr>
          <w:sz w:val="14"/>
          <w:szCs w:val="14"/>
        </w:rPr>
        <w:t xml:space="preserve"> обслуживающего</w:t>
      </w:r>
      <w:r w:rsidRPr="00A34D7F">
        <w:rPr>
          <w:sz w:val="14"/>
          <w:szCs w:val="14"/>
        </w:rPr>
        <w:t xml:space="preserve"> банка. Прочие реквизиты определяются в соответствии с действующим Списком</w:t>
      </w:r>
      <w:r>
        <w:rPr>
          <w:sz w:val="14"/>
          <w:szCs w:val="14"/>
        </w:rPr>
        <w:t xml:space="preserve"> и</w:t>
      </w:r>
      <w:r w:rsidRPr="00A34D7F">
        <w:rPr>
          <w:sz w:val="14"/>
          <w:szCs w:val="14"/>
        </w:rPr>
        <w:t xml:space="preserve"> </w:t>
      </w:r>
      <w:r>
        <w:rPr>
          <w:sz w:val="14"/>
          <w:szCs w:val="14"/>
        </w:rPr>
        <w:t>реквизитами банковских</w:t>
      </w:r>
      <w:r w:rsidRPr="00A34D7F">
        <w:rPr>
          <w:sz w:val="14"/>
          <w:szCs w:val="14"/>
        </w:rPr>
        <w:t xml:space="preserve"> счетов в иностранных валютах, предоставленным </w:t>
      </w:r>
      <w:r>
        <w:rPr>
          <w:sz w:val="14"/>
          <w:szCs w:val="14"/>
        </w:rPr>
        <w:t xml:space="preserve">Бирже клиринговым </w:t>
      </w:r>
      <w:r w:rsidRPr="00A34D7F">
        <w:rPr>
          <w:sz w:val="14"/>
          <w:szCs w:val="14"/>
        </w:rPr>
        <w:t>участником.</w:t>
      </w:r>
    </w:p>
    <w:p w14:paraId="7FA8279A" w14:textId="77777777" w:rsidR="008B0F14" w:rsidRPr="00330412" w:rsidRDefault="008B0F14" w:rsidP="008B0F14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</w:rPr>
      </w:pPr>
      <w:r w:rsidRPr="00330412">
        <w:rPr>
          <w:sz w:val="14"/>
          <w:szCs w:val="14"/>
          <w:vertAlign w:val="superscript"/>
        </w:rPr>
        <w:t>2</w:t>
      </w:r>
      <w:r>
        <w:rPr>
          <w:sz w:val="14"/>
          <w:szCs w:val="14"/>
          <w:vertAlign w:val="superscript"/>
        </w:rPr>
        <w:tab/>
      </w:r>
      <w:r w:rsidRPr="00330412">
        <w:rPr>
          <w:sz w:val="14"/>
          <w:szCs w:val="14"/>
        </w:rPr>
        <w:t>Рек</w:t>
      </w:r>
      <w:r>
        <w:rPr>
          <w:sz w:val="14"/>
          <w:szCs w:val="14"/>
        </w:rPr>
        <w:t>визиты банковского счета в тенге, предоставленные Бирже клиринговым участником.</w:t>
      </w:r>
    </w:p>
    <w:p w14:paraId="7104333B" w14:textId="77777777" w:rsidR="008B0F14" w:rsidRDefault="008B0F14" w:rsidP="008B0F1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Pr="009532AE">
        <w:rPr>
          <w:sz w:val="14"/>
          <w:szCs w:val="14"/>
        </w:rPr>
        <w:tab/>
      </w:r>
      <w:r w:rsidRPr="00476BC7">
        <w:rPr>
          <w:sz w:val="14"/>
          <w:szCs w:val="14"/>
        </w:rPr>
        <w:t xml:space="preserve">В случае перечисления </w:t>
      </w:r>
      <w:r>
        <w:rPr>
          <w:sz w:val="14"/>
          <w:szCs w:val="14"/>
        </w:rPr>
        <w:t>казахстанских тенге или</w:t>
      </w:r>
      <w:r w:rsidRPr="00476BC7">
        <w:rPr>
          <w:sz w:val="14"/>
          <w:szCs w:val="14"/>
        </w:rPr>
        <w:t xml:space="preserve"> иностранной валюты только на один из </w:t>
      </w:r>
      <w:r>
        <w:rPr>
          <w:sz w:val="14"/>
          <w:szCs w:val="14"/>
        </w:rPr>
        <w:t xml:space="preserve">банковских счетов </w:t>
      </w:r>
      <w:r w:rsidRPr="00476BC7">
        <w:rPr>
          <w:sz w:val="14"/>
          <w:szCs w:val="14"/>
        </w:rPr>
        <w:t>заполнение графы "Сумма" необязательно.</w:t>
      </w:r>
    </w:p>
    <w:p w14:paraId="492E5B0A" w14:textId="77777777" w:rsidR="008B0F14" w:rsidRDefault="008B0F14" w:rsidP="008B0F14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Pr="002C0411">
        <w:rPr>
          <w:sz w:val="14"/>
          <w:szCs w:val="14"/>
        </w:rPr>
        <w:tab/>
      </w:r>
      <w:r>
        <w:rPr>
          <w:sz w:val="14"/>
          <w:szCs w:val="14"/>
        </w:rPr>
        <w:t>Кодовое обозначение валюты</w:t>
      </w:r>
      <w:r w:rsidRPr="00557ED3">
        <w:rPr>
          <w:sz w:val="14"/>
          <w:szCs w:val="14"/>
        </w:rPr>
        <w:t xml:space="preserve"> – </w:t>
      </w:r>
      <w:r>
        <w:rPr>
          <w:sz w:val="14"/>
          <w:szCs w:val="14"/>
          <w:lang w:val="en-US"/>
        </w:rPr>
        <w:t>KZT</w:t>
      </w:r>
      <w:r w:rsidRPr="00A34D7F">
        <w:rPr>
          <w:sz w:val="14"/>
          <w:szCs w:val="14"/>
        </w:rPr>
        <w:t xml:space="preserve">, </w:t>
      </w:r>
      <w:r>
        <w:rPr>
          <w:sz w:val="14"/>
          <w:szCs w:val="14"/>
          <w:lang w:val="en-US"/>
        </w:rPr>
        <w:t>USD</w:t>
      </w:r>
      <w:r w:rsidRPr="00557ED3">
        <w:rPr>
          <w:sz w:val="14"/>
          <w:szCs w:val="14"/>
        </w:rPr>
        <w:t xml:space="preserve">, </w:t>
      </w:r>
      <w:r>
        <w:rPr>
          <w:sz w:val="14"/>
          <w:szCs w:val="14"/>
          <w:lang w:val="en-US"/>
        </w:rPr>
        <w:t>EUR</w:t>
      </w:r>
      <w:r w:rsidRPr="00557ED3">
        <w:rPr>
          <w:sz w:val="14"/>
          <w:szCs w:val="14"/>
        </w:rPr>
        <w:t xml:space="preserve">, </w:t>
      </w:r>
      <w:r>
        <w:rPr>
          <w:sz w:val="14"/>
          <w:szCs w:val="14"/>
          <w:lang w:val="en-US"/>
        </w:rPr>
        <w:t>RUB</w:t>
      </w:r>
      <w:r w:rsidRPr="00557ED3">
        <w:rPr>
          <w:sz w:val="14"/>
          <w:szCs w:val="14"/>
        </w:rPr>
        <w:t xml:space="preserve">, </w:t>
      </w:r>
      <w:r>
        <w:rPr>
          <w:sz w:val="14"/>
          <w:szCs w:val="14"/>
          <w:lang w:val="en-US"/>
        </w:rPr>
        <w:t>CNY</w:t>
      </w:r>
      <w:r w:rsidRPr="009532AE">
        <w:rPr>
          <w:sz w:val="14"/>
          <w:szCs w:val="14"/>
        </w:rPr>
        <w:t>.</w:t>
      </w:r>
    </w:p>
    <w:p w14:paraId="12676B2C" w14:textId="77777777" w:rsidR="008B0F14" w:rsidRPr="0083341C" w:rsidRDefault="008B0F14" w:rsidP="008B0F14">
      <w:pPr>
        <w:widowControl w:val="0"/>
        <w:tabs>
          <w:tab w:val="left" w:pos="288"/>
        </w:tabs>
        <w:spacing w:before="60" w:after="120"/>
        <w:ind w:left="288" w:hanging="288"/>
        <w:jc w:val="both"/>
        <w:rPr>
          <w:sz w:val="14"/>
          <w:szCs w:val="14"/>
          <w:lang w:eastAsia="ru-RU"/>
        </w:rPr>
      </w:pPr>
    </w:p>
    <w:p w14:paraId="248736FA" w14:textId="77777777" w:rsidR="008B0F14" w:rsidRDefault="008B0F14" w:rsidP="008B0F14">
      <w:pPr>
        <w:widowControl w:val="0"/>
        <w:spacing w:after="120"/>
        <w:jc w:val="both"/>
        <w:rPr>
          <w:lang w:eastAsia="ru-RU"/>
        </w:rPr>
      </w:pPr>
      <w:r w:rsidRPr="00503A30">
        <w:rPr>
          <w:lang w:eastAsia="ru-RU"/>
        </w:rPr>
        <w:t xml:space="preserve">Настоящее </w:t>
      </w:r>
      <w:r>
        <w:rPr>
          <w:lang w:eastAsia="ru-RU"/>
        </w:rPr>
        <w:t>заявление</w:t>
      </w:r>
      <w:r w:rsidRPr="00503A30">
        <w:rPr>
          <w:lang w:eastAsia="ru-RU"/>
        </w:rPr>
        <w:t xml:space="preserve"> действует постольку, поскольку </w:t>
      </w:r>
      <w:r>
        <w:rPr>
          <w:lang w:eastAsia="ru-RU"/>
        </w:rPr>
        <w:t xml:space="preserve">клиринговый </w:t>
      </w:r>
      <w:r w:rsidRPr="00503A30">
        <w:rPr>
          <w:lang w:eastAsia="ru-RU"/>
        </w:rPr>
        <w:t>участник не предоставил более позднее</w:t>
      </w:r>
      <w:r>
        <w:rPr>
          <w:lang w:eastAsia="ru-RU"/>
        </w:rPr>
        <w:t xml:space="preserve"> </w:t>
      </w:r>
    </w:p>
    <w:p w14:paraId="7254CCF0" w14:textId="77777777" w:rsidR="008B0F14" w:rsidRDefault="008B0F14" w:rsidP="008B0F14">
      <w:pPr>
        <w:widowControl w:val="0"/>
        <w:spacing w:after="120"/>
        <w:rPr>
          <w:lang w:eastAsia="ru-RU"/>
        </w:rPr>
      </w:pPr>
    </w:p>
    <w:p w14:paraId="3A471544" w14:textId="77777777" w:rsidR="008B0F14" w:rsidRDefault="008B0F14" w:rsidP="008B0F14">
      <w:pPr>
        <w:widowControl w:val="0"/>
        <w:spacing w:after="120"/>
        <w:rPr>
          <w:lang w:eastAsia="ru-RU"/>
        </w:rPr>
      </w:pPr>
    </w:p>
    <w:p w14:paraId="540791C4" w14:textId="77777777" w:rsidR="008B0F14" w:rsidRDefault="008B0F14" w:rsidP="008B0F14">
      <w:pPr>
        <w:widowControl w:val="0"/>
        <w:spacing w:after="120"/>
        <w:rPr>
          <w:lang w:eastAsia="ru-RU"/>
        </w:rPr>
      </w:pPr>
    </w:p>
    <w:p w14:paraId="416FF1A8" w14:textId="77777777" w:rsidR="008B0F14" w:rsidRDefault="008B0F14" w:rsidP="008B0F14">
      <w:pPr>
        <w:widowControl w:val="0"/>
        <w:spacing w:after="120"/>
        <w:rPr>
          <w:lang w:eastAsia="ru-RU"/>
        </w:rPr>
      </w:pPr>
    </w:p>
    <w:p w14:paraId="7E96919E" w14:textId="77777777" w:rsidR="008B0F14" w:rsidRPr="00503A30" w:rsidRDefault="008B0F14" w:rsidP="008B0F14">
      <w:pPr>
        <w:widowControl w:val="0"/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8B0F14" w:rsidRPr="00503A30" w14:paraId="159B9A54" w14:textId="77777777" w:rsidTr="00DE6AAB">
        <w:tc>
          <w:tcPr>
            <w:tcW w:w="5508" w:type="dxa"/>
            <w:shd w:val="clear" w:color="auto" w:fill="FBE4D5"/>
          </w:tcPr>
          <w:p w14:paraId="715D6790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 xml:space="preserve">клирингового </w:t>
            </w:r>
            <w:r w:rsidRPr="00503A30">
              <w:rPr>
                <w:lang w:eastAsia="ru-RU"/>
              </w:rPr>
              <w:t>участника</w:t>
            </w:r>
          </w:p>
          <w:p w14:paraId="275AE13F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  <w:p w14:paraId="647FF0F2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  <w:p w14:paraId="1B4B638F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>(подпись, фамилия, инициалы трейдера)</w:t>
            </w:r>
          </w:p>
        </w:tc>
        <w:tc>
          <w:tcPr>
            <w:tcW w:w="3735" w:type="dxa"/>
            <w:shd w:val="clear" w:color="auto" w:fill="D0CECE"/>
          </w:tcPr>
          <w:p w14:paraId="36373127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Подпись трейдера проверена</w:t>
            </w:r>
          </w:p>
          <w:p w14:paraId="7E657497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  <w:p w14:paraId="1536B361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  <w:p w14:paraId="6E8C40B7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(личная печать проверившего работника Биржи, </w:t>
            </w:r>
            <w:r w:rsidRPr="00503A30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59D8D002" w14:textId="77777777" w:rsidR="00C22368" w:rsidRDefault="00C22368"/>
    <w:sectPr w:rsidR="00C2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14"/>
    <w:rsid w:val="004C2446"/>
    <w:rsid w:val="008B0F14"/>
    <w:rsid w:val="00C22368"/>
    <w:rsid w:val="00E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227C3"/>
  <w15:chartTrackingRefBased/>
  <w15:docId w15:val="{DF55C525-384E-4463-A635-A0CA8B2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F14"/>
    <w:pPr>
      <w:tabs>
        <w:tab w:val="right" w:pos="9000"/>
      </w:tabs>
      <w:spacing w:before="120" w:after="120"/>
      <w:jc w:val="both"/>
    </w:pPr>
  </w:style>
  <w:style w:type="character" w:customStyle="1" w:styleId="a4">
    <w:name w:val="Основной текст Знак"/>
    <w:basedOn w:val="a0"/>
    <w:link w:val="a3"/>
    <w:rsid w:val="008B0F1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Бездетко</dc:creator>
  <cp:keywords/>
  <dc:description/>
  <cp:lastModifiedBy>Маргарита Бездетко</cp:lastModifiedBy>
  <cp:revision>3</cp:revision>
  <dcterms:created xsi:type="dcterms:W3CDTF">2020-12-02T09:35:00Z</dcterms:created>
  <dcterms:modified xsi:type="dcterms:W3CDTF">2020-12-02T09:36:00Z</dcterms:modified>
</cp:coreProperties>
</file>